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615" w:rsidRDefault="00600615" w:rsidP="001E191F">
      <w:pPr>
        <w:pStyle w:val="Nagwek2"/>
        <w:ind w:left="0" w:firstLine="0"/>
        <w:jc w:val="center"/>
        <w:rPr>
          <w:rFonts w:eastAsia="Times New Roman"/>
          <w:u w:val="single"/>
        </w:rPr>
      </w:pPr>
      <w:bookmarkStart w:id="0" w:name="_Toc190857890"/>
      <w:r w:rsidRPr="00600615">
        <w:rPr>
          <w:rFonts w:eastAsia="Times New Roman"/>
          <w:u w:val="single"/>
        </w:rPr>
        <w:t xml:space="preserve">Przyjęte założenia </w:t>
      </w:r>
      <w:bookmarkEnd w:id="0"/>
      <w:r w:rsidRPr="00600615">
        <w:rPr>
          <w:rFonts w:eastAsia="Times New Roman"/>
          <w:u w:val="single"/>
        </w:rPr>
        <w:t xml:space="preserve">do </w:t>
      </w:r>
      <w:r>
        <w:rPr>
          <w:rFonts w:eastAsia="Times New Roman"/>
          <w:u w:val="single"/>
        </w:rPr>
        <w:t>analizy finansowej</w:t>
      </w:r>
    </w:p>
    <w:p w:rsidR="001E191F" w:rsidRPr="00600615" w:rsidRDefault="001E191F" w:rsidP="001E191F">
      <w:pPr>
        <w:pStyle w:val="Nagwek2"/>
        <w:ind w:left="0" w:firstLine="0"/>
        <w:jc w:val="center"/>
        <w:rPr>
          <w:rFonts w:eastAsia="Times New Roman"/>
          <w:u w:val="single"/>
        </w:rPr>
      </w:pPr>
    </w:p>
    <w:p w:rsidR="00600615" w:rsidRDefault="00600615" w:rsidP="00600615">
      <w:pPr>
        <w:jc w:val="both"/>
        <w:rPr>
          <w:rFonts w:ascii="Arial" w:hAnsi="Arial" w:cs="Arial"/>
        </w:rPr>
      </w:pPr>
      <w:r w:rsidRPr="001E191F">
        <w:rPr>
          <w:rFonts w:ascii="Arial" w:hAnsi="Arial" w:cs="Arial"/>
        </w:rPr>
        <w:t xml:space="preserve">Analiza finansowa została przeprowadzona dla MZGOK Spółka z o.o., która jest zarówno Beneficjentem dotacji jak i eksploatatorem nowego majątku, wytworzonego w ramach Projektu „Uporządkowanie gospodarki odpadami na terenie subregionu konińskiego” współfinansowanego z Funduszu Spójności. </w:t>
      </w:r>
    </w:p>
    <w:p w:rsidR="001E191F" w:rsidRPr="001E191F" w:rsidRDefault="001E191F" w:rsidP="00600615">
      <w:pPr>
        <w:jc w:val="both"/>
        <w:rPr>
          <w:rFonts w:ascii="Arial" w:hAnsi="Arial" w:cs="Arial"/>
        </w:rPr>
      </w:pPr>
    </w:p>
    <w:p w:rsidR="00600615" w:rsidRDefault="00600615" w:rsidP="00600615">
      <w:pPr>
        <w:jc w:val="both"/>
        <w:rPr>
          <w:rFonts w:ascii="Arial" w:hAnsi="Arial" w:cs="Arial"/>
        </w:rPr>
      </w:pPr>
      <w:r w:rsidRPr="001E191F">
        <w:rPr>
          <w:rFonts w:ascii="Arial" w:hAnsi="Arial" w:cs="Arial"/>
        </w:rPr>
        <w:t xml:space="preserve">Główny nacisk został położony na zbadanie sytuacji ekonomicznej Beneficjenta, zarówno w okresie realizacji inwestycji, jak i po oddaniu do eksploatacji nowych i zmodernizowanych obiektów. Podejście takie ma swoje odzwierciedlenie w prezentacji wyników analizy finansowej. </w:t>
      </w:r>
    </w:p>
    <w:p w:rsidR="001E191F" w:rsidRPr="001E191F" w:rsidRDefault="001E191F" w:rsidP="00600615">
      <w:pPr>
        <w:jc w:val="both"/>
        <w:rPr>
          <w:rFonts w:ascii="Arial" w:hAnsi="Arial" w:cs="Arial"/>
        </w:rPr>
      </w:pPr>
    </w:p>
    <w:p w:rsidR="00600615" w:rsidRPr="001E191F" w:rsidRDefault="00600615" w:rsidP="00600615">
      <w:pPr>
        <w:jc w:val="both"/>
        <w:rPr>
          <w:rFonts w:ascii="Arial" w:hAnsi="Arial" w:cs="Arial"/>
        </w:rPr>
      </w:pPr>
      <w:r w:rsidRPr="001E191F">
        <w:rPr>
          <w:rFonts w:ascii="Arial" w:hAnsi="Arial" w:cs="Arial"/>
        </w:rPr>
        <w:t>W prezentowanej analizie finansowej zdefiniowany został horyzont</w:t>
      </w:r>
      <w:r w:rsidRPr="001E191F">
        <w:rPr>
          <w:rFonts w:ascii="Arial" w:hAnsi="Arial" w:cs="Arial"/>
          <w:b/>
          <w:bCs/>
        </w:rPr>
        <w:t xml:space="preserve"> </w:t>
      </w:r>
      <w:r w:rsidRPr="001E191F">
        <w:rPr>
          <w:rFonts w:ascii="Arial" w:hAnsi="Arial" w:cs="Arial"/>
        </w:rPr>
        <w:t>czasowy do 2027 r. Tak przyjęty przedział czasowy jest typowy dla przedsięwzięć z zakresu gospodarki odpadowej                      i uwzględnia trwałość popytu na usługi komunalne.</w:t>
      </w:r>
    </w:p>
    <w:p w:rsidR="00600615" w:rsidRPr="001E191F" w:rsidRDefault="00600615" w:rsidP="00600615">
      <w:pPr>
        <w:jc w:val="both"/>
        <w:rPr>
          <w:rFonts w:ascii="Arial" w:hAnsi="Arial" w:cs="Arial"/>
        </w:rPr>
      </w:pPr>
      <w:r w:rsidRPr="001E191F">
        <w:rPr>
          <w:rFonts w:ascii="Arial" w:hAnsi="Arial" w:cs="Arial"/>
        </w:rPr>
        <w:t> </w:t>
      </w:r>
    </w:p>
    <w:p w:rsidR="00600615" w:rsidRPr="001E191F" w:rsidRDefault="00600615" w:rsidP="00600615">
      <w:pPr>
        <w:pStyle w:val="kuryswanormalny"/>
        <w:rPr>
          <w:rFonts w:ascii="Arial" w:hAnsi="Arial" w:cs="Arial"/>
          <w:i w:val="0"/>
          <w:sz w:val="22"/>
          <w:szCs w:val="22"/>
        </w:rPr>
      </w:pPr>
      <w:r w:rsidRPr="001E191F">
        <w:rPr>
          <w:rFonts w:ascii="Arial" w:hAnsi="Arial" w:cs="Arial"/>
          <w:i w:val="0"/>
          <w:sz w:val="22"/>
          <w:szCs w:val="22"/>
        </w:rPr>
        <w:t>W celu osiągnięcia spójności obliczeń oraz porównywalności wyników przyjęto niżej wymienione założenia:</w:t>
      </w:r>
    </w:p>
    <w:p w:rsidR="001E191F" w:rsidRPr="001E191F" w:rsidRDefault="001E191F" w:rsidP="00600615">
      <w:pPr>
        <w:pStyle w:val="kuryswanormalny"/>
        <w:rPr>
          <w:rFonts w:ascii="Arial" w:hAnsi="Arial" w:cs="Arial"/>
          <w:i w:val="0"/>
          <w:sz w:val="22"/>
          <w:szCs w:val="22"/>
        </w:rPr>
      </w:pPr>
    </w:p>
    <w:p w:rsidR="00600615" w:rsidRDefault="00600615" w:rsidP="001E191F">
      <w:pPr>
        <w:pStyle w:val="Listapunktowan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E191F">
        <w:rPr>
          <w:rFonts w:ascii="Arial" w:hAnsi="Arial" w:cs="Arial"/>
          <w:sz w:val="22"/>
          <w:szCs w:val="22"/>
        </w:rPr>
        <w:t>Analizę wykonano w cenach zmiennych, netto uwzględniając wysokość prognozowanej inflacji.</w:t>
      </w:r>
    </w:p>
    <w:p w:rsidR="00600615" w:rsidRDefault="00600615" w:rsidP="001E191F">
      <w:pPr>
        <w:pStyle w:val="Listapunktowan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E191F">
        <w:rPr>
          <w:rFonts w:ascii="Arial" w:hAnsi="Arial" w:cs="Arial"/>
          <w:sz w:val="22"/>
          <w:szCs w:val="22"/>
        </w:rPr>
        <w:t>W prognozie ceny odpadów przyjęto stopniowe dochodzenie do pełnego pokrycia amortyzacji, co jest podyktowane względami społecznymi, z uwagi na wysoki poziom obciążenia dochodów mieszkańców opłatami za odpady. Brak pełnego pokrycia kosztu amortyzacji skutkuje stratą na sprzedaży w Rachunku zysków i strat.</w:t>
      </w:r>
    </w:p>
    <w:p w:rsidR="00600615" w:rsidRDefault="00600615" w:rsidP="00600615">
      <w:pPr>
        <w:pStyle w:val="Listapunktowan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E191F">
        <w:rPr>
          <w:rFonts w:ascii="Arial" w:hAnsi="Arial" w:cs="Arial"/>
          <w:sz w:val="22"/>
          <w:szCs w:val="22"/>
        </w:rPr>
        <w:t xml:space="preserve">W celu obliczenia wartości rezydualnej Projektu wykorzystana została amortyzacja </w:t>
      </w:r>
      <w:r w:rsidR="001E191F" w:rsidRPr="001E191F">
        <w:rPr>
          <w:rFonts w:ascii="Arial" w:hAnsi="Arial" w:cs="Arial"/>
          <w:sz w:val="22"/>
          <w:szCs w:val="22"/>
        </w:rPr>
        <w:t xml:space="preserve">                   </w:t>
      </w:r>
      <w:r w:rsidRPr="001E191F">
        <w:rPr>
          <w:rFonts w:ascii="Arial" w:hAnsi="Arial" w:cs="Arial"/>
          <w:sz w:val="22"/>
          <w:szCs w:val="22"/>
        </w:rPr>
        <w:t xml:space="preserve">w pełnej wysokości. </w:t>
      </w:r>
    </w:p>
    <w:p w:rsidR="00600615" w:rsidRPr="001E191F" w:rsidRDefault="00600615" w:rsidP="001E191F">
      <w:pPr>
        <w:pStyle w:val="Listapunktowan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E191F">
        <w:rPr>
          <w:rFonts w:ascii="Arial" w:hAnsi="Arial" w:cs="Arial"/>
          <w:sz w:val="22"/>
          <w:szCs w:val="22"/>
        </w:rPr>
        <w:t>Założono następujący sposób rozliczania odsetek od zaciągniętych pożyczek inwestycyjnych:</w:t>
      </w:r>
    </w:p>
    <w:p w:rsidR="00600615" w:rsidRPr="001E191F" w:rsidRDefault="00600615" w:rsidP="00600615">
      <w:pPr>
        <w:pStyle w:val="listawypunktowa2"/>
        <w:rPr>
          <w:rFonts w:ascii="Arial" w:hAnsi="Arial" w:cs="Arial"/>
          <w:sz w:val="22"/>
          <w:szCs w:val="22"/>
        </w:rPr>
      </w:pPr>
      <w:r w:rsidRPr="001E191F">
        <w:rPr>
          <w:rFonts w:ascii="Arial" w:hAnsi="Arial" w:cs="Arial"/>
          <w:sz w:val="22"/>
          <w:szCs w:val="22"/>
        </w:rPr>
        <w:t xml:space="preserve">-     odsetki płatne w trakcie </w:t>
      </w:r>
      <w:r w:rsidRPr="001E191F">
        <w:rPr>
          <w:rFonts w:ascii="Arial" w:hAnsi="Arial" w:cs="Arial"/>
          <w:i/>
          <w:iCs/>
          <w:sz w:val="22"/>
          <w:szCs w:val="22"/>
        </w:rPr>
        <w:t>budowy</w:t>
      </w:r>
      <w:r w:rsidRPr="001E191F">
        <w:rPr>
          <w:rFonts w:ascii="Arial" w:hAnsi="Arial" w:cs="Arial"/>
          <w:sz w:val="22"/>
          <w:szCs w:val="22"/>
        </w:rPr>
        <w:t xml:space="preserve"> podwyższają wartości inwestycji; wartość inwestycji powiększona o doliczone odsetki jest następnie amortyzowana.</w:t>
      </w:r>
    </w:p>
    <w:p w:rsidR="00600615" w:rsidRDefault="00600615" w:rsidP="00600615">
      <w:pPr>
        <w:pStyle w:val="listawypunktowa2"/>
        <w:rPr>
          <w:rFonts w:ascii="Arial" w:hAnsi="Arial" w:cs="Arial"/>
          <w:sz w:val="22"/>
          <w:szCs w:val="22"/>
        </w:rPr>
      </w:pPr>
      <w:r w:rsidRPr="001E191F">
        <w:rPr>
          <w:rFonts w:ascii="Arial" w:hAnsi="Arial" w:cs="Arial"/>
          <w:sz w:val="22"/>
          <w:szCs w:val="22"/>
        </w:rPr>
        <w:t xml:space="preserve">-     odsetki płatne w trakcie </w:t>
      </w:r>
      <w:r w:rsidRPr="001E191F">
        <w:rPr>
          <w:rFonts w:ascii="Arial" w:hAnsi="Arial" w:cs="Arial"/>
          <w:i/>
          <w:iCs/>
          <w:sz w:val="22"/>
          <w:szCs w:val="22"/>
        </w:rPr>
        <w:t>eksploatacji</w:t>
      </w:r>
      <w:r w:rsidRPr="001E191F">
        <w:rPr>
          <w:rFonts w:ascii="Arial" w:hAnsi="Arial" w:cs="Arial"/>
          <w:sz w:val="22"/>
          <w:szCs w:val="22"/>
        </w:rPr>
        <w:t xml:space="preserve"> stanowią koszt uzyskania przychodu.</w:t>
      </w:r>
    </w:p>
    <w:p w:rsidR="00600615" w:rsidRDefault="001E191F" w:rsidP="001E191F">
      <w:pPr>
        <w:pStyle w:val="listawypunktowa2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00615" w:rsidRPr="001E191F">
        <w:rPr>
          <w:rFonts w:ascii="Arial" w:hAnsi="Arial" w:cs="Arial"/>
          <w:sz w:val="22"/>
          <w:szCs w:val="22"/>
        </w:rPr>
        <w:t>zacowanie przepływów dokonane zostało w ujęciu rocznym.</w:t>
      </w:r>
    </w:p>
    <w:p w:rsidR="00600615" w:rsidRDefault="00600615" w:rsidP="001E191F">
      <w:pPr>
        <w:pStyle w:val="listawypunktowa2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E191F">
        <w:rPr>
          <w:rFonts w:ascii="Arial" w:hAnsi="Arial" w:cs="Arial"/>
          <w:sz w:val="22"/>
          <w:szCs w:val="22"/>
        </w:rPr>
        <w:t>Przyjęto koszt utylizacji odpadów niebezpiecznych jako usługi obce na poziomie</w:t>
      </w:r>
      <w:r w:rsidR="001E191F" w:rsidRPr="001E191F">
        <w:rPr>
          <w:rFonts w:ascii="Arial" w:hAnsi="Arial" w:cs="Arial"/>
          <w:sz w:val="22"/>
          <w:szCs w:val="22"/>
        </w:rPr>
        <w:t xml:space="preserve">                </w:t>
      </w:r>
      <w:r w:rsidRPr="001E191F">
        <w:rPr>
          <w:rFonts w:ascii="Arial" w:hAnsi="Arial" w:cs="Arial"/>
          <w:sz w:val="22"/>
          <w:szCs w:val="22"/>
        </w:rPr>
        <w:t xml:space="preserve"> 500 PLN/</w:t>
      </w:r>
      <w:r w:rsidR="001E191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191F">
        <w:rPr>
          <w:rFonts w:ascii="Arial" w:hAnsi="Arial" w:cs="Arial"/>
          <w:sz w:val="22"/>
          <w:szCs w:val="22"/>
        </w:rPr>
        <w:t>Mg</w:t>
      </w:r>
      <w:proofErr w:type="spellEnd"/>
      <w:r w:rsidRPr="001E191F">
        <w:rPr>
          <w:rFonts w:ascii="Arial" w:hAnsi="Arial" w:cs="Arial"/>
          <w:sz w:val="22"/>
          <w:szCs w:val="22"/>
        </w:rPr>
        <w:t>.</w:t>
      </w:r>
    </w:p>
    <w:p w:rsidR="00600615" w:rsidRDefault="00600615" w:rsidP="001E191F">
      <w:pPr>
        <w:pStyle w:val="listawypunktowa2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E191F">
        <w:rPr>
          <w:rFonts w:ascii="Arial" w:hAnsi="Arial" w:cs="Arial"/>
          <w:sz w:val="22"/>
          <w:szCs w:val="22"/>
        </w:rPr>
        <w:t>W wyniku inwestycji w zakresie budowy spalarni założono, że spółka będzie czerpała dodatkowe przychody w zakresie przychodów ze sprzedaży energii elektrycznej do sieci, energii cieplnej oraz przychody ze sprzedaży złomu.</w:t>
      </w:r>
    </w:p>
    <w:p w:rsidR="00600615" w:rsidRDefault="00835D86" w:rsidP="001E191F">
      <w:pPr>
        <w:pStyle w:val="listawypunktowa2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E191F">
        <w:rPr>
          <w:rFonts w:ascii="Arial" w:hAnsi="Arial" w:cs="Arial"/>
          <w:sz w:val="22"/>
          <w:szCs w:val="22"/>
        </w:rPr>
        <w:t>Na</w:t>
      </w:r>
      <w:r w:rsidR="00600615" w:rsidRPr="001E191F">
        <w:rPr>
          <w:rFonts w:ascii="Arial" w:hAnsi="Arial" w:cs="Arial"/>
          <w:sz w:val="22"/>
          <w:szCs w:val="22"/>
        </w:rPr>
        <w:t xml:space="preserve">kłady inwestycyjne Projektu są ujęte w wartościach netto. </w:t>
      </w:r>
    </w:p>
    <w:p w:rsidR="00600615" w:rsidRDefault="00600615" w:rsidP="001E191F">
      <w:pPr>
        <w:pStyle w:val="listawypunktowa2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E191F">
        <w:rPr>
          <w:rFonts w:ascii="Arial" w:hAnsi="Arial" w:cs="Arial"/>
          <w:sz w:val="22"/>
          <w:szCs w:val="22"/>
        </w:rPr>
        <w:t>Założenia makroekonomiczne przyjęto zgodnie z Wytycznymi tj. dla lat 2010 – 2015 na poziomie przyjętym w zaktualizowanym wariancie rozwoju gospodarczego Polski (prognoza Ministerstwa Gospodarki), a dla kolejnych lat zastosowano wartości</w:t>
      </w:r>
      <w:r w:rsidR="00835D86" w:rsidRPr="001E191F">
        <w:rPr>
          <w:rFonts w:ascii="Arial" w:hAnsi="Arial" w:cs="Arial"/>
          <w:sz w:val="22"/>
          <w:szCs w:val="22"/>
        </w:rPr>
        <w:t xml:space="preserve">                         </w:t>
      </w:r>
      <w:r w:rsidRPr="001E191F">
        <w:rPr>
          <w:rFonts w:ascii="Arial" w:hAnsi="Arial" w:cs="Arial"/>
          <w:sz w:val="22"/>
          <w:szCs w:val="22"/>
        </w:rPr>
        <w:t xml:space="preserve"> z ostatniego roku prognozy Ministerstwa.</w:t>
      </w:r>
    </w:p>
    <w:p w:rsidR="00600615" w:rsidRDefault="00600615" w:rsidP="001E191F">
      <w:pPr>
        <w:pStyle w:val="listawypunktowa2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E191F">
        <w:rPr>
          <w:rFonts w:ascii="Arial" w:hAnsi="Arial" w:cs="Arial"/>
          <w:sz w:val="22"/>
          <w:szCs w:val="22"/>
        </w:rPr>
        <w:t xml:space="preserve">W odniesieniu do prognozy cen energii przyjęto wskaźnik realnego wzrostu o 2% rocznie do 2020 r. a od 2021 r. wzrost nominalny zgodny z oczekiwanym wskaźnikiem inflacji. </w:t>
      </w:r>
    </w:p>
    <w:p w:rsidR="00600615" w:rsidRPr="001E191F" w:rsidRDefault="00600615" w:rsidP="001E191F">
      <w:pPr>
        <w:pStyle w:val="listawypunktowa2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1E191F">
        <w:rPr>
          <w:rFonts w:ascii="Arial" w:hAnsi="Arial" w:cs="Arial"/>
        </w:rPr>
        <w:t>Założenia odnośnie stawek podatku</w:t>
      </w:r>
      <w:r w:rsidR="00835D86" w:rsidRPr="001E191F">
        <w:rPr>
          <w:rFonts w:ascii="Arial" w:hAnsi="Arial" w:cs="Arial"/>
        </w:rPr>
        <w:t>:</w:t>
      </w:r>
    </w:p>
    <w:p w:rsidR="00835D86" w:rsidRPr="001E191F" w:rsidRDefault="00835D86" w:rsidP="00835D86">
      <w:pPr>
        <w:ind w:left="360"/>
        <w:rPr>
          <w:rFonts w:ascii="Arial" w:hAnsi="Arial" w:cs="Arial"/>
          <w:snapToGrid w:val="0"/>
        </w:rPr>
      </w:pPr>
      <w:r w:rsidRPr="001E191F">
        <w:rPr>
          <w:rFonts w:ascii="Arial" w:hAnsi="Arial" w:cs="Arial"/>
        </w:rPr>
        <w:t xml:space="preserve">- </w:t>
      </w:r>
      <w:r w:rsidRPr="001E191F">
        <w:rPr>
          <w:rFonts w:ascii="Arial" w:hAnsi="Arial" w:cs="Arial"/>
          <w:snapToGrid w:val="0"/>
        </w:rPr>
        <w:t>Stawka podatku VAT na zakup środków trwałych - 23%</w:t>
      </w:r>
    </w:p>
    <w:p w:rsidR="00835D86" w:rsidRPr="001E191F" w:rsidRDefault="00835D86" w:rsidP="00835D86">
      <w:pPr>
        <w:ind w:left="360"/>
        <w:rPr>
          <w:rFonts w:ascii="Arial" w:hAnsi="Arial" w:cs="Arial"/>
          <w:snapToGrid w:val="0"/>
        </w:rPr>
      </w:pPr>
      <w:r w:rsidRPr="001E191F">
        <w:rPr>
          <w:rFonts w:ascii="Arial" w:hAnsi="Arial" w:cs="Arial"/>
          <w:snapToGrid w:val="0"/>
        </w:rPr>
        <w:t>- Stawka podatku VAT na zakup materiałów - 23%</w:t>
      </w:r>
    </w:p>
    <w:p w:rsidR="00835D86" w:rsidRPr="001E191F" w:rsidRDefault="00835D86" w:rsidP="00835D86">
      <w:pPr>
        <w:ind w:left="360"/>
        <w:rPr>
          <w:rFonts w:ascii="Arial" w:hAnsi="Arial" w:cs="Arial"/>
        </w:rPr>
      </w:pPr>
      <w:r w:rsidRPr="001E191F">
        <w:rPr>
          <w:rFonts w:ascii="Arial" w:hAnsi="Arial" w:cs="Arial"/>
          <w:snapToGrid w:val="0"/>
        </w:rPr>
        <w:t>- Stawka podatku CIT – 19%</w:t>
      </w:r>
    </w:p>
    <w:p w:rsidR="00600615" w:rsidRPr="001E191F" w:rsidRDefault="00600615" w:rsidP="00600615">
      <w:pPr>
        <w:rPr>
          <w:rFonts w:ascii="Arial" w:hAnsi="Arial" w:cs="Arial"/>
        </w:rPr>
      </w:pPr>
      <w:r w:rsidRPr="001E191F">
        <w:rPr>
          <w:rFonts w:ascii="Arial" w:hAnsi="Arial" w:cs="Arial"/>
        </w:rPr>
        <w:t> </w:t>
      </w:r>
    </w:p>
    <w:p w:rsidR="001260C1" w:rsidRPr="001E191F" w:rsidRDefault="001260C1">
      <w:pPr>
        <w:rPr>
          <w:rFonts w:ascii="Arial" w:hAnsi="Arial" w:cs="Arial"/>
        </w:rPr>
      </w:pPr>
    </w:p>
    <w:sectPr w:rsidR="001260C1" w:rsidRPr="001E191F" w:rsidSect="00126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F268B"/>
    <w:multiLevelType w:val="hybridMultilevel"/>
    <w:tmpl w:val="06F8BE0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5C13A7E"/>
    <w:multiLevelType w:val="hybridMultilevel"/>
    <w:tmpl w:val="74A8E31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7E35EC8"/>
    <w:multiLevelType w:val="hybridMultilevel"/>
    <w:tmpl w:val="858845D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C2F360D"/>
    <w:multiLevelType w:val="hybridMultilevel"/>
    <w:tmpl w:val="14067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16A4010"/>
    <w:multiLevelType w:val="hybridMultilevel"/>
    <w:tmpl w:val="AA3405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600615"/>
    <w:rsid w:val="001260C1"/>
    <w:rsid w:val="001E191F"/>
    <w:rsid w:val="00600615"/>
    <w:rsid w:val="00835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0615"/>
    <w:pPr>
      <w:spacing w:after="0" w:line="240" w:lineRule="auto"/>
    </w:pPr>
    <w:rPr>
      <w:rFonts w:ascii="Calibri" w:hAnsi="Calibri" w:cs="Times New Roman"/>
      <w:lang w:eastAsia="pl-PL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600615"/>
    <w:pPr>
      <w:spacing w:before="360" w:after="120"/>
      <w:ind w:left="576" w:hanging="576"/>
      <w:jc w:val="both"/>
      <w:outlineLvl w:val="1"/>
    </w:pPr>
    <w:rPr>
      <w:rFonts w:ascii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600615"/>
    <w:rPr>
      <w:rFonts w:ascii="Arial" w:hAnsi="Arial" w:cs="Arial"/>
      <w:b/>
      <w:bCs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semiHidden/>
    <w:unhideWhenUsed/>
    <w:rsid w:val="00600615"/>
    <w:pPr>
      <w:ind w:left="357" w:hanging="357"/>
      <w:jc w:val="both"/>
    </w:pPr>
    <w:rPr>
      <w:rFonts w:ascii="Times New Roman" w:hAnsi="Times New Roman"/>
      <w:sz w:val="24"/>
      <w:szCs w:val="24"/>
    </w:rPr>
  </w:style>
  <w:style w:type="paragraph" w:customStyle="1" w:styleId="tekstabel">
    <w:name w:val="tekstabel"/>
    <w:basedOn w:val="Normalny"/>
    <w:rsid w:val="00600615"/>
    <w:pPr>
      <w:jc w:val="both"/>
    </w:pPr>
    <w:rPr>
      <w:rFonts w:ascii="Times New Roman" w:hAnsi="Times New Roman"/>
      <w:sz w:val="20"/>
      <w:szCs w:val="20"/>
    </w:rPr>
  </w:style>
  <w:style w:type="paragraph" w:customStyle="1" w:styleId="listawypunktowa2">
    <w:name w:val="listawypunktowa2"/>
    <w:basedOn w:val="Normalny"/>
    <w:rsid w:val="00600615"/>
    <w:pPr>
      <w:ind w:left="794" w:hanging="397"/>
      <w:jc w:val="both"/>
    </w:pPr>
    <w:rPr>
      <w:rFonts w:ascii="Times New Roman" w:hAnsi="Times New Roman"/>
      <w:sz w:val="24"/>
      <w:szCs w:val="24"/>
    </w:rPr>
  </w:style>
  <w:style w:type="paragraph" w:customStyle="1" w:styleId="kuryswanormalny">
    <w:name w:val="kuryswanormalny"/>
    <w:basedOn w:val="Normalny"/>
    <w:rsid w:val="00600615"/>
    <w:pPr>
      <w:jc w:val="both"/>
    </w:pPr>
    <w:rPr>
      <w:rFonts w:ascii="Times New Roman" w:hAnsi="Times New Roman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835D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3</cp:revision>
  <dcterms:created xsi:type="dcterms:W3CDTF">2014-05-07T04:54:00Z</dcterms:created>
  <dcterms:modified xsi:type="dcterms:W3CDTF">2014-05-07T05:20:00Z</dcterms:modified>
</cp:coreProperties>
</file>